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30.png" ContentType="image/png"/>
  <Override PartName="/word/media/rId25.png" ContentType="image/png"/>
  <Override PartName="/word/media/rId3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Aux</w:t>
      </w:r>
      <w:r>
        <w:t xml:space="preserve"> </w:t>
      </w:r>
      <w:r>
        <w:t xml:space="preserve">Portes</w:t>
      </w:r>
      <w:r>
        <w:t xml:space="preserve"> </w:t>
      </w:r>
      <w:r>
        <w:t xml:space="preserve">du</w:t>
      </w:r>
      <w:r>
        <w:t xml:space="preserve"> </w:t>
      </w:r>
      <w:r>
        <w:t xml:space="preserve">Mordor</w:t>
      </w:r>
    </w:p>
    <w:bookmarkStart w:id="37" w:name="i.c.e.-jrtm"/>
    <w:p>
      <w:pPr>
        <w:pStyle w:val="Titre1"/>
      </w:pPr>
      <w:r>
        <w:t xml:space="preserve">I.C.E. JRTM</w:t>
      </w:r>
    </w:p>
    <w:bookmarkStart w:id="23" w:name="aux-portes-du-mordor"/>
    <w:p>
      <w:pPr>
        <w:pStyle w:val="Titre2"/>
      </w:pPr>
      <w:r>
        <w:t xml:space="preserve">Aux Portes du Mordor</w:t>
      </w:r>
    </w:p>
    <w:p>
      <w:pPr>
        <w:pStyle w:val="Figure"/>
      </w:pPr>
      <w:r>
        <w:drawing>
          <wp:inline>
            <wp:extent cx="5943600" cy="3915346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3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Un module d’aventures prêtes à jouer dans les Terres du Milieu de</w:t>
      </w:r>
      <w:r>
        <w:t xml:space="preserve"> </w:t>
      </w:r>
      <w:r>
        <w:t xml:space="preserve">J.R.R. Tolkien.</w:t>
      </w:r>
    </w:p>
    <w:p>
      <w:pPr>
        <w:pStyle w:val="Corpsdetexte"/>
      </w:pPr>
      <w:r>
        <w:t xml:space="preserve">Vous trouverez, dans ce module basé sur Bilbo le Hobbit™ et sur Le</w:t>
      </w:r>
      <w:r>
        <w:t xml:space="preserve"> </w:t>
      </w:r>
      <w:r>
        <w:t xml:space="preserve">Seigneur des Anneaux™, trois aventures pour niveau débutant à moyen.</w:t>
      </w:r>
      <w:r>
        <w:t xml:space="preserve"> </w:t>
      </w:r>
      <w:r>
        <w:t xml:space="preserve">Chaque aventure se suffît à elle-même peut être mise en place en</w:t>
      </w:r>
      <w:r>
        <w:t xml:space="preserve"> </w:t>
      </w:r>
      <w:r>
        <w:t xml:space="preserve">quelques minutes.</w:t>
      </w:r>
    </w:p>
    <w:p>
      <w:pPr>
        <w:numPr>
          <w:ilvl w:val="0"/>
          <w:numId w:val="1001"/>
        </w:numPr>
        <w:pStyle w:val="Compact"/>
      </w:pPr>
      <w:r>
        <w:t xml:space="preserve">Un envoi de vin et de bière a disparu en Ithilien Septentrionale.</w:t>
      </w:r>
      <w:r>
        <w:t xml:space="preserve"> </w:t>
      </w:r>
      <w:r>
        <w:t xml:space="preserve">Firichal, un riche marchand de vins, a offert une récompense pour</w:t>
      </w:r>
      <w:r>
        <w:t xml:space="preserve"> </w:t>
      </w:r>
      <w:r>
        <w:t xml:space="preserve">obtenir informations et assistance. Etes-vous suffisamment brave pour</w:t>
      </w:r>
      <w:r>
        <w:t xml:space="preserve"> </w:t>
      </w:r>
      <w:r>
        <w:t xml:space="preserve">suivre La Piste des Bandits du Vin ?</w:t>
      </w:r>
    </w:p>
    <w:p>
      <w:pPr>
        <w:numPr>
          <w:ilvl w:val="0"/>
          <w:numId w:val="1001"/>
        </w:numPr>
        <w:pStyle w:val="Compact"/>
      </w:pPr>
      <w:r>
        <w:t xml:space="preserve">La tour de Barad Perras a résisté autrefois aux efforts des Orques</w:t>
      </w:r>
      <w:r>
        <w:t xml:space="preserve"> </w:t>
      </w:r>
      <w:r>
        <w:t xml:space="preserve">qui l’assiégeaient. Des années plus tard, elle est abandonnée et</w:t>
      </w:r>
      <w:r>
        <w:t xml:space="preserve"> </w:t>
      </w:r>
      <w:r>
        <w:t xml:space="preserve">oubliée… Récemment, cependant, une bande d’Orques Scara-hai a revendiqué</w:t>
      </w:r>
      <w:r>
        <w:t xml:space="preserve"> </w:t>
      </w:r>
      <w:r>
        <w:t xml:space="preserve">la tour comme base à partir de laquelle terroriser la région.</w:t>
      </w:r>
      <w:r>
        <w:t xml:space="preserve"> </w:t>
      </w:r>
      <w:r>
        <w:t xml:space="preserve">Acceptez-vous d’affronter les Problèmes à la Petite Corne !</w:t>
      </w:r>
    </w:p>
    <w:p>
      <w:pPr>
        <w:numPr>
          <w:ilvl w:val="0"/>
          <w:numId w:val="1001"/>
        </w:numPr>
        <w:pStyle w:val="Compact"/>
      </w:pPr>
      <w:r>
        <w:t xml:space="preserve">Les gens de Minas Tirith parlent d’une étrange bande d’Orques et du</w:t>
      </w:r>
      <w:r>
        <w:t xml:space="preserve"> </w:t>
      </w:r>
      <w:r>
        <w:t xml:space="preserve">sorcier qui les commande, Gaurhîr. Ces Scara-hai ont été élevés en vue</w:t>
      </w:r>
      <w:r>
        <w:t xml:space="preserve"> </w:t>
      </w:r>
      <w:r>
        <w:t xml:space="preserve">d’un plan très spécial et ce plan est sur le point de porter ses</w:t>
      </w:r>
      <w:r>
        <w:t xml:space="preserve"> </w:t>
      </w:r>
      <w:r>
        <w:t xml:space="preserve">macabres fruits. Avez-vous le courage de vous dresser face au Maître de</w:t>
      </w:r>
      <w:r>
        <w:t xml:space="preserve"> </w:t>
      </w:r>
      <w:r>
        <w:t xml:space="preserve">Durthang ?</w:t>
      </w:r>
    </w:p>
    <w:p>
      <w:pPr>
        <w:pStyle w:val="FirstParagraph"/>
      </w:pPr>
      <w:r>
        <w:t xml:space="preserve">Dans ces trois aventures passionnantes, le danger est partout, mais</w:t>
      </w:r>
      <w:r>
        <w:t xml:space="preserve"> </w:t>
      </w:r>
      <w:r>
        <w:t xml:space="preserve">il en est de même des récompenses !</w:t>
      </w:r>
    </w:p>
    <w:p>
      <w:pPr>
        <w:pStyle w:val="Corpsdetexte"/>
      </w:pPr>
      <w:r>
        <w:t xml:space="preserve">La série des Aventures dans les Terres du Milieu</w:t>
      </w:r>
      <w:r>
        <w:t xml:space="preserve"> </w:t>
      </w:r>
      <w:r>
        <w:rPr>
          <w:bCs/>
          <w:b/>
        </w:rPr>
        <w:t xml:space="preserve">Prêtes-à-Jouer</w:t>
      </w:r>
      <w:r>
        <w:t xml:space="preserve"> </w:t>
      </w:r>
      <w:r>
        <w:t xml:space="preserve">est faite pour les maîtres de jeu (MJ)</w:t>
      </w:r>
      <w:r>
        <w:t xml:space="preserve"> </w:t>
      </w:r>
      <w:r>
        <w:t xml:space="preserve">qui veulent des aventures se préparant en quelques minutes, et pouvant</w:t>
      </w:r>
      <w:r>
        <w:t xml:space="preserve"> </w:t>
      </w:r>
      <w:r>
        <w:t xml:space="preserve">se jouer en quelques heures. Ces aventures ne demandent aucune</w:t>
      </w:r>
      <w:r>
        <w:t xml:space="preserve"> </w:t>
      </w:r>
      <w:r>
        <w:t xml:space="preserve">préparation ou presque.</w:t>
      </w:r>
    </w:p>
    <w:p>
      <w:pPr>
        <w:pStyle w:val="Corpsdetexte"/>
      </w:pPr>
      <w:r>
        <w:rPr>
          <w:bCs/>
          <w:b/>
        </w:rPr>
        <w:t xml:space="preserve">“Aux Portes du Mordor”</w:t>
      </w:r>
      <w:r>
        <w:t xml:space="preserve"> </w:t>
      </w:r>
      <w:r>
        <w:t xml:space="preserve">comporte quatre parties :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Le chapitre 01</w:t>
      </w:r>
      <w:r>
        <w:t xml:space="preserve"> </w:t>
      </w:r>
      <w:r>
        <w:t xml:space="preserve">donne des indications pour</w:t>
      </w:r>
      <w:r>
        <w:t xml:space="preserve"> </w:t>
      </w:r>
      <w:r>
        <w:t xml:space="preserve">l’utilisation du module.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Le chapitre 02</w:t>
      </w:r>
      <w:r>
        <w:t xml:space="preserve"> </w:t>
      </w:r>
      <w:r>
        <w:t xml:space="preserve">offre une liste de personnages déjà</w:t>
      </w:r>
      <w:r>
        <w:t xml:space="preserve"> </w:t>
      </w:r>
      <w:r>
        <w:t xml:space="preserve">créés (qui peuvent être utilisés en tant que Personnages Non Joueurs, si</w:t>
      </w:r>
      <w:r>
        <w:t xml:space="preserve"> </w:t>
      </w:r>
      <w:r>
        <w:t xml:space="preserve">le besoin s’en fait sentir).</w:t>
      </w:r>
    </w:p>
    <w:p>
      <w:pPr>
        <w:numPr>
          <w:ilvl w:val="0"/>
          <w:numId w:val="1002"/>
        </w:numPr>
        <w:pStyle w:val="Compact"/>
      </w:pPr>
      <w:r>
        <w:t xml:space="preserve">La troisième partie comprend les</w:t>
      </w:r>
      <w:r>
        <w:t xml:space="preserve"> </w:t>
      </w:r>
      <w:r>
        <w:rPr>
          <w:bCs/>
          <w:b/>
        </w:rPr>
        <w:t xml:space="preserve">chapitres 03, 04 et 05, les</w:t>
      </w:r>
      <w:r>
        <w:rPr>
          <w:bCs/>
          <w:b/>
        </w:rPr>
        <w:t xml:space="preserve"> </w:t>
      </w:r>
      <w:r>
        <w:rPr>
          <w:bCs/>
          <w:b/>
        </w:rPr>
        <w:t xml:space="preserve">aventures</w:t>
      </w:r>
      <w:r>
        <w:t xml:space="preserve">. Chaque aventure se suffit à elle-même, bien qu’un</w:t>
      </w:r>
      <w:r>
        <w:t xml:space="preserve"> </w:t>
      </w:r>
      <w:r>
        <w:t xml:space="preserve">thème commun relie les histoires. Elles peuvent se situer n’importe où</w:t>
      </w:r>
      <w:r>
        <w:t xml:space="preserve"> </w:t>
      </w:r>
      <w:r>
        <w:t xml:space="preserve">dans les Terres du Milieu, tant que l’histoire peut s’appliquer</w:t>
      </w:r>
      <w:r>
        <w:t xml:space="preserve"> </w:t>
      </w:r>
      <w:r>
        <w:t xml:space="preserve">logiquement à l’endroit choisi.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Le chapitre 06</w:t>
      </w:r>
      <w:r>
        <w:t xml:space="preserve"> </w:t>
      </w:r>
      <w:r>
        <w:t xml:space="preserve">décrit la tribu des Scara-hai, alors</w:t>
      </w:r>
      <w:r>
        <w:t xml:space="preserve"> </w:t>
      </w:r>
      <w:r>
        <w:t xml:space="preserve">que</w:t>
      </w:r>
      <w:r>
        <w:t xml:space="preserve"> </w:t>
      </w:r>
      <w:r>
        <w:rPr>
          <w:bCs/>
          <w:b/>
        </w:rPr>
        <w:t xml:space="preserve">le chapitre 07</w:t>
      </w:r>
      <w:r>
        <w:t xml:space="preserve"> </w:t>
      </w:r>
      <w:r>
        <w:t xml:space="preserve">fournit des notes et des tables pour</w:t>
      </w:r>
      <w:r>
        <w:t xml:space="preserve"> </w:t>
      </w:r>
      <w:r>
        <w:t xml:space="preserve">le MJ, ainsi que la carte détaillée la région.</w:t>
      </w:r>
    </w:p>
    <w:bookmarkEnd w:id="23"/>
    <w:bookmarkStart w:id="24" w:name="prise-en-main-des-aventures"/>
    <w:p>
      <w:pPr>
        <w:pStyle w:val="Titre2"/>
      </w:pPr>
      <w:r>
        <w:t xml:space="preserve">Prise en main des aventures</w:t>
      </w:r>
    </w:p>
    <w:p>
      <w:pPr>
        <w:pStyle w:val="FirstParagraph"/>
      </w:pPr>
      <w:r>
        <w:t xml:space="preserve">Chaque aventure est conçue pour un niveau de difficulté</w:t>
      </w:r>
      <w:r>
        <w:t xml:space="preserve"> </w:t>
      </w:r>
      <w:r>
        <w:t xml:space="preserve">différent.</w:t>
      </w:r>
    </w:p>
    <w:p>
      <w:pPr>
        <w:numPr>
          <w:ilvl w:val="0"/>
          <w:numId w:val="1003"/>
        </w:numPr>
        <w:pStyle w:val="Compact"/>
      </w:pPr>
      <w:r>
        <w:t xml:space="preserve">L’aventure du chapitre 03 est prévue pour des</w:t>
      </w:r>
      <w:r>
        <w:t xml:space="preserve"> </w:t>
      </w:r>
      <w:r>
        <w:rPr>
          <w:bCs/>
          <w:b/>
        </w:rPr>
        <w:t xml:space="preserve">joueurs</w:t>
      </w:r>
      <w:r>
        <w:rPr>
          <w:bCs/>
          <w:b/>
        </w:rPr>
        <w:t xml:space="preserve"> </w:t>
      </w:r>
      <w:r>
        <w:rPr>
          <w:bCs/>
          <w:b/>
        </w:rPr>
        <w:t xml:space="preserve">inexpérimentés ou des personnages de niveau 1 ou 2</w:t>
      </w:r>
      <w:r>
        <w:t xml:space="preserve"> </w:t>
      </w:r>
      <w:r>
        <w:t xml:space="preserve">;</w:t>
      </w:r>
    </w:p>
    <w:p>
      <w:pPr>
        <w:numPr>
          <w:ilvl w:val="0"/>
          <w:numId w:val="1003"/>
        </w:numPr>
        <w:pStyle w:val="Compact"/>
      </w:pPr>
      <w:r>
        <w:t xml:space="preserve">L’aventure du chapitre 04 est faite pour des</w:t>
      </w:r>
      <w:r>
        <w:t xml:space="preserve"> </w:t>
      </w:r>
      <w:r>
        <w:rPr>
          <w:bCs/>
          <w:b/>
        </w:rPr>
        <w:t xml:space="preserve">aventuriers de</w:t>
      </w:r>
      <w:r>
        <w:rPr>
          <w:bCs/>
          <w:b/>
        </w:rPr>
        <w:t xml:space="preserve"> </w:t>
      </w:r>
      <w:r>
        <w:rPr>
          <w:bCs/>
          <w:b/>
        </w:rPr>
        <w:t xml:space="preserve">niveau 2 ou 3</w:t>
      </w:r>
      <w:r>
        <w:t xml:space="preserve"> </w:t>
      </w:r>
      <w:r>
        <w:t xml:space="preserve">;</w:t>
      </w:r>
    </w:p>
    <w:p>
      <w:pPr>
        <w:numPr>
          <w:ilvl w:val="0"/>
          <w:numId w:val="1003"/>
        </w:numPr>
        <w:pStyle w:val="Compact"/>
      </w:pPr>
      <w:r>
        <w:t xml:space="preserve">L’aventure du chapitre 05, elle est conçue pour des</w:t>
      </w:r>
      <w:r>
        <w:t xml:space="preserve"> </w:t>
      </w:r>
      <w:r>
        <w:rPr>
          <w:bCs/>
          <w:b/>
        </w:rPr>
        <w:t xml:space="preserve">personnages de niveau 4 ou 5</w:t>
      </w:r>
      <w:r>
        <w:t xml:space="preserve">.</w:t>
      </w:r>
    </w:p>
    <w:p>
      <w:pPr>
        <w:pStyle w:val="FirstParagraph"/>
      </w:pPr>
      <w:r>
        <w:t xml:space="preserve">Une fois le jeu lancé, le MJ devra se référer à la Table des PNJ,</w:t>
      </w:r>
      <w:r>
        <w:t xml:space="preserve"> </w:t>
      </w:r>
      <w:r>
        <w:t xml:space="preserve">située en fin de livret. Elle offre les caractéristiques succinctes des</w:t>
      </w:r>
      <w:r>
        <w:t xml:space="preserve"> </w:t>
      </w:r>
      <w:r>
        <w:t xml:space="preserve">PNJ rencontrés dans chaque aventure.</w:t>
      </w:r>
    </w:p>
    <w:p>
      <w:pPr>
        <w:pStyle w:val="Corpsdetexte"/>
      </w:pPr>
      <w:r>
        <w:t xml:space="preserve">Les aventures sont divisées en cinq parties :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L’histoire</w:t>
      </w:r>
      <w:r>
        <w:t xml:space="preserve">, déterminant le décor, l’historique et</w:t>
      </w:r>
      <w:r>
        <w:t xml:space="preserve"> </w:t>
      </w:r>
      <w:r>
        <w:t xml:space="preserve">l’intrigue ;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Les Personnages Non Joueurs</w:t>
      </w:r>
      <w:r>
        <w:t xml:space="preserve">, donnant une</w:t>
      </w:r>
      <w:r>
        <w:t xml:space="preserve"> </w:t>
      </w:r>
      <w:r>
        <w:t xml:space="preserve">description détaillée des principaux PNJ y compris de leurs</w:t>
      </w:r>
      <w:r>
        <w:t xml:space="preserve"> </w:t>
      </w:r>
      <w:r>
        <w:t xml:space="preserve">caractéristiques ;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La topographie, description détaillée</w:t>
      </w:r>
      <w:r>
        <w:t xml:space="preserve"> </w:t>
      </w:r>
      <w:r>
        <w:t xml:space="preserve">des</w:t>
      </w:r>
      <w:r>
        <w:t xml:space="preserve"> </w:t>
      </w:r>
      <w:r>
        <w:t xml:space="preserve">différents niveaux et des pièces du site où se déroule l’aventure,</w:t>
      </w:r>
      <w:r>
        <w:t xml:space="preserve"> </w:t>
      </w:r>
      <w:r>
        <w:t xml:space="preserve">complétée de nombreux diagrammes, cartes et illustrations ;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La tâche</w:t>
      </w:r>
      <w:r>
        <w:t xml:space="preserve">, comprenant une introduction à l’aventure,</w:t>
      </w:r>
      <w:r>
        <w:t xml:space="preserve"> </w:t>
      </w:r>
      <w:r>
        <w:t xml:space="preserve">ainsi que les aides, indices, obstacles et récompenses attendant les</w:t>
      </w:r>
      <w:r>
        <w:t xml:space="preserve"> </w:t>
      </w:r>
      <w:r>
        <w:t xml:space="preserve">aventuriers ;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Les rencontres</w:t>
      </w:r>
      <w:r>
        <w:t xml:space="preserve">, présentant les rencontres typiques</w:t>
      </w:r>
      <w:r>
        <w:t xml:space="preserve"> </w:t>
      </w:r>
      <w:r>
        <w:t xml:space="preserve">ou probables entre les aventuriers et les PNJ.</w:t>
      </w:r>
    </w:p>
    <w:p>
      <w:pPr>
        <w:pStyle w:val="FirstParagraph"/>
      </w:pPr>
      <w:r>
        <w:t xml:space="preserve">Le MJ devra prendre connaissance de chaque section de l’aventure</w:t>
      </w:r>
      <w:r>
        <w:t xml:space="preserve"> </w:t>
      </w:r>
      <w:r>
        <w:t xml:space="preserve">avant de commencer le jeu. Puis il fera choisir aux joueurs des</w:t>
      </w:r>
      <w:r>
        <w:t xml:space="preserve"> </w:t>
      </w:r>
      <w:r>
        <w:t xml:space="preserve">personnages déjà créés parmi ceux du chapitre 02, ou pourra leur</w:t>
      </w:r>
      <w:r>
        <w:t xml:space="preserve"> </w:t>
      </w:r>
      <w:r>
        <w:t xml:space="preserve">permettre de créer leur propre personnage (le MJ peut, bien entendu,</w:t>
      </w:r>
      <w:r>
        <w:t xml:space="preserve"> </w:t>
      </w:r>
      <w:r>
        <w:t xml:space="preserve">attribuer lui-même les PJ).</w:t>
      </w:r>
    </w:p>
    <w:p>
      <w:pPr>
        <w:pStyle w:val="Corpsdetexte"/>
      </w:pPr>
      <w:r>
        <w:t xml:space="preserve">Une fois le jeu lancé, le MJ devra se référer à la Table de</w:t>
      </w:r>
      <w:r>
        <w:t xml:space="preserve"> </w:t>
      </w:r>
      <w:r>
        <w:t xml:space="preserve">Rencontres, située en fin de module. Celle-ci offre les probabilités de</w:t>
      </w:r>
      <w:r>
        <w:t xml:space="preserve"> </w:t>
      </w:r>
      <w:r>
        <w:t xml:space="preserve">rencontres pour chaque lieu de chacune des aventures (section 7.1).</w:t>
      </w:r>
    </w:p>
    <w:bookmarkEnd w:id="24"/>
    <w:bookmarkStart w:id="28" w:name="carte-de-la-région"/>
    <w:p>
      <w:pPr>
        <w:pStyle w:val="Titre2"/>
      </w:pPr>
      <w:r>
        <w:t xml:space="preserve">Carte de la région</w:t>
      </w:r>
    </w:p>
    <w:p>
      <w:pPr>
        <w:pStyle w:val="CaptionedFigure"/>
      </w:pPr>
      <w:r>
        <w:drawing>
          <wp:inline>
            <wp:extent cx="5943600" cy="7565353"/>
            <wp:effectExtent b="0" l="0" r="0" t="0"/>
            <wp:docPr descr="" title="" id="26" name="Picture"/>
            <a:graphic>
              <a:graphicData uri="http://schemas.openxmlformats.org/drawingml/2006/picture">
                <pic:pic>
                  <pic:nvPicPr>
                    <pic:cNvPr descr="images/page-04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56535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Carte de la région des Ephel Dúath Septentrionaux</w:t>
      </w:r>
    </w:p>
    <w:bookmarkEnd w:id="28"/>
    <w:bookmarkStart w:id="29" w:name="crédits"/>
    <w:p>
      <w:pPr>
        <w:pStyle w:val="Titre2"/>
      </w:pPr>
      <w:r>
        <w:t xml:space="preserve">Crédits</w:t>
      </w:r>
    </w:p>
    <w:p>
      <w:pPr>
        <w:pStyle w:val="FirstParagraph"/>
      </w:pPr>
      <w:r>
        <w:rPr>
          <w:bCs/>
          <w:b/>
        </w:rPr>
        <w:t xml:space="preserve">Auteur / Concepteur</w:t>
      </w:r>
      <w:r>
        <w:t xml:space="preserve"> </w:t>
      </w:r>
      <w:r>
        <w:t xml:space="preserve">: Graham Staplehurst</w:t>
      </w:r>
    </w:p>
    <w:p>
      <w:pPr>
        <w:pStyle w:val="Corpsdetexte"/>
      </w:pPr>
      <w:r>
        <w:rPr>
          <w:bCs/>
          <w:b/>
        </w:rPr>
        <w:t xml:space="preserve">Rédaction</w:t>
      </w:r>
      <w:r>
        <w:t xml:space="preserve"> </w:t>
      </w:r>
      <w:r>
        <w:t xml:space="preserve">: Terry K. Amthor</w:t>
      </w:r>
    </w:p>
    <w:p>
      <w:pPr>
        <w:pStyle w:val="Corpsdetexte"/>
      </w:pPr>
      <w:r>
        <w:rPr>
          <w:bCs/>
          <w:b/>
        </w:rPr>
        <w:t xml:space="preserve">Responsable de série</w:t>
      </w:r>
      <w:r>
        <w:t xml:space="preserve"> </w:t>
      </w:r>
      <w:r>
        <w:t xml:space="preserve">: Pete Fenlon</w:t>
      </w:r>
    </w:p>
    <w:p>
      <w:pPr>
        <w:pStyle w:val="Corpsdetexte"/>
      </w:pPr>
      <w:r>
        <w:rPr>
          <w:bCs/>
          <w:b/>
        </w:rPr>
        <w:t xml:space="preserve">Dessin de couverture</w:t>
      </w:r>
      <w:r>
        <w:t xml:space="preserve"> </w:t>
      </w:r>
      <w:r>
        <w:t xml:space="preserve">: Angus Mc Bride</w:t>
      </w:r>
    </w:p>
    <w:p>
      <w:pPr>
        <w:pStyle w:val="Corpsdetexte"/>
      </w:pPr>
      <w:r>
        <w:rPr>
          <w:bCs/>
          <w:b/>
        </w:rPr>
        <w:t xml:space="preserve">Graphisme architectural de Durthang</w:t>
      </w:r>
      <w:r>
        <w:t xml:space="preserve"> </w:t>
      </w:r>
      <w:r>
        <w:t xml:space="preserve">: Jessica</w:t>
      </w:r>
      <w:r>
        <w:t xml:space="preserve"> </w:t>
      </w:r>
      <w:r>
        <w:t xml:space="preserve">Ney</w:t>
      </w:r>
    </w:p>
    <w:p>
      <w:pPr>
        <w:pStyle w:val="Corpsdetexte"/>
      </w:pPr>
      <w:r>
        <w:rPr>
          <w:bCs/>
          <w:b/>
        </w:rPr>
        <w:t xml:space="preserve">Cartographie</w:t>
      </w:r>
      <w:r>
        <w:t xml:space="preserve"> </w:t>
      </w:r>
      <w:r>
        <w:t xml:space="preserve">: Stephen Sullivan</w:t>
      </w:r>
    </w:p>
    <w:p>
      <w:pPr>
        <w:pStyle w:val="Corpsdetexte"/>
      </w:pPr>
      <w:r>
        <w:rPr>
          <w:bCs/>
          <w:b/>
        </w:rPr>
        <w:t xml:space="preserve">Illustrations intérieures</w:t>
      </w:r>
      <w:r>
        <w:t xml:space="preserve"> </w:t>
      </w:r>
      <w:r>
        <w:t xml:space="preserve">: Jason Waltrip</w:t>
      </w:r>
    </w:p>
    <w:p>
      <w:pPr>
        <w:pStyle w:val="Corpsdetexte"/>
      </w:pPr>
      <w:r>
        <w:rPr>
          <w:bCs/>
          <w:b/>
        </w:rPr>
        <w:t xml:space="preserve">Graphisme de couverture</w:t>
      </w:r>
      <w:r>
        <w:t xml:space="preserve"> </w:t>
      </w:r>
      <w:r>
        <w:t xml:space="preserve">: Richard H. Britton</w:t>
      </w:r>
    </w:p>
    <w:p>
      <w:pPr>
        <w:pStyle w:val="Corpsdetexte"/>
      </w:pPr>
      <w:r>
        <w:rPr>
          <w:bCs/>
          <w:b/>
        </w:rPr>
        <w:t xml:space="preserve">Production</w:t>
      </w:r>
      <w:r>
        <w:t xml:space="preserve"> </w:t>
      </w:r>
      <w:r>
        <w:t xml:space="preserve">: Jessica Ney, Suzanne Young</w:t>
      </w:r>
    </w:p>
    <w:p>
      <w:pPr>
        <w:pStyle w:val="Corpsdetexte"/>
      </w:pPr>
      <w:r>
        <w:rPr>
          <w:bCs/>
          <w:b/>
        </w:rPr>
        <w:t xml:space="preserve">Contributions rédactionnelles</w:t>
      </w:r>
      <w:r>
        <w:t xml:space="preserve"> </w:t>
      </w:r>
      <w:r>
        <w:t xml:space="preserve">: John David Ruemmel,</w:t>
      </w:r>
      <w:r>
        <w:t xml:space="preserve"> </w:t>
      </w:r>
      <w:r>
        <w:t xml:space="preserve">Heike Kubash, Jessica Ney.</w:t>
      </w:r>
    </w:p>
    <w:p>
      <w:pPr>
        <w:pStyle w:val="Corpsdetexte"/>
      </w:pPr>
      <w:r>
        <w:rPr>
          <w:bCs/>
          <w:b/>
        </w:rPr>
        <w:t xml:space="preserve">Contributions spéciales</w:t>
      </w:r>
      <w:r>
        <w:t xml:space="preserve"> </w:t>
      </w:r>
      <w:r>
        <w:t xml:space="preserve">: Bill Downs, Sterling</w:t>
      </w:r>
      <w:r>
        <w:t xml:space="preserve"> </w:t>
      </w:r>
      <w:r>
        <w:t xml:space="preserve">Williams, John Breckenridge, Larry Taylor, Kurt Rasmussen, Ney, Chris</w:t>
      </w:r>
      <w:r>
        <w:t xml:space="preserve"> </w:t>
      </w:r>
      <w:r>
        <w:t xml:space="preserve">Christensen, Deane Begiebing, Kathleen Connor, Kurt Fischer, Bill</w:t>
      </w:r>
      <w:r>
        <w:t xml:space="preserve"> </w:t>
      </w:r>
      <w:r>
        <w:t xml:space="preserve">Covert, Lambert Bridge, Karl Borg, Bruce Neidlinger, Colemen Charlton,</w:t>
      </w:r>
      <w:r>
        <w:t xml:space="preserve"> </w:t>
      </w:r>
      <w:r>
        <w:t xml:space="preserve">et Swink, qui a intérêt à prendre garde.</w:t>
      </w:r>
    </w:p>
    <w:p>
      <w:pPr>
        <w:pStyle w:val="Corpsdetexte"/>
      </w:pPr>
      <w:r>
        <w:rPr>
          <w:bCs/>
          <w:b/>
        </w:rPr>
        <w:t xml:space="preserve">Remerciements à</w:t>
      </w:r>
      <w:r>
        <w:t xml:space="preserve"> </w:t>
      </w:r>
      <w:r>
        <w:t xml:space="preserve">: Rose Smith, Debbie Hart, Joan</w:t>
      </w:r>
      <w:r>
        <w:t xml:space="preserve"> </w:t>
      </w:r>
      <w:r>
        <w:t xml:space="preserve">&amp; Derrick, Carole Atkin et Pete Fenlon.</w:t>
      </w:r>
    </w:p>
    <w:p>
      <w:pPr>
        <w:pStyle w:val="Corpsdetexte"/>
      </w:pPr>
      <w:r>
        <w:t xml:space="preserve">Dédié à Tim, Harty et Jim.</w:t>
      </w:r>
    </w:p>
    <w:p>
      <w:pPr>
        <w:pStyle w:val="Corpsdetexte"/>
      </w:pPr>
      <w:r>
        <w:rPr>
          <w:bCs/>
          <w:b/>
        </w:rPr>
        <w:t xml:space="preserve">Titre original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“Gates of Mordor”</w:t>
      </w:r>
    </w:p>
    <w:p>
      <w:pPr>
        <w:pStyle w:val="Corpsdetexte"/>
      </w:pPr>
      <w:r>
        <w:rPr>
          <w:bCs/>
          <w:b/>
        </w:rPr>
        <w:t xml:space="preserve">Traduction</w:t>
      </w:r>
      <w:r>
        <w:t xml:space="preserve"> </w:t>
      </w:r>
      <w:r>
        <w:t xml:space="preserve">: Albert Nieto</w:t>
      </w:r>
    </w:p>
    <w:p>
      <w:pPr>
        <w:pStyle w:val="Corpsdetexte"/>
      </w:pPr>
      <w:r>
        <w:rPr>
          <w:bCs/>
          <w:b/>
        </w:rPr>
        <w:t xml:space="preserve">Correcteur-réviseur</w:t>
      </w:r>
      <w:r>
        <w:t xml:space="preserve"> </w:t>
      </w:r>
      <w:r>
        <w:t xml:space="preserve">: Marca Plual-Thésée</w:t>
      </w:r>
    </w:p>
    <w:p>
      <w:pPr>
        <w:pStyle w:val="Corpsdetexte"/>
      </w:pPr>
      <w:r>
        <w:rPr>
          <w:bCs/>
          <w:b/>
        </w:rPr>
        <w:t xml:space="preserve">Scribe-frappeur</w:t>
      </w:r>
      <w:r>
        <w:t xml:space="preserve"> </w:t>
      </w:r>
      <w:r>
        <w:t xml:space="preserve">: Françoise Morier</w:t>
      </w:r>
    </w:p>
    <w:p>
      <w:pPr>
        <w:pStyle w:val="Corpsdetexte"/>
      </w:pPr>
      <w:r>
        <w:rPr>
          <w:bCs/>
          <w:b/>
        </w:rPr>
        <w:t xml:space="preserve">Maquette française</w:t>
      </w:r>
      <w:r>
        <w:t xml:space="preserve"> </w:t>
      </w:r>
      <w:r>
        <w:t xml:space="preserve">: HEXAGONAL</w:t>
      </w:r>
    </w:p>
    <w:bookmarkEnd w:id="29"/>
    <w:bookmarkStart w:id="36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Copyright 1987 © TOLKIEN ENTERPRISES, une division d’ELAN</w:t>
      </w:r>
      <w:r>
        <w:t xml:space="preserve"> </w:t>
      </w:r>
      <w:r>
        <w:t xml:space="preserve">MERCHANDISING, Inc., Berkeley, CA.</w:t>
      </w:r>
    </w:p>
    <w:p>
      <w:pPr>
        <w:pStyle w:val="Corpsdetexte"/>
      </w:pPr>
      <w:r>
        <w:t xml:space="preserve">Aux Portes du Mordor, Bilbo le Hobbit, et Le Seigneur des Anneaux,</w:t>
      </w:r>
      <w:r>
        <w:t xml:space="preserve"> </w:t>
      </w:r>
      <w:r>
        <w:t xml:space="preserve">ainsi que tous les personnages et lieux décrits dans ce module, sont des</w:t>
      </w:r>
      <w:r>
        <w:t xml:space="preserve"> </w:t>
      </w:r>
      <w:r>
        <w:t xml:space="preserve">marques déposées appartenant à TOLKIEN ENTERPRISES.</w:t>
      </w:r>
    </w:p>
    <w:p>
      <w:pPr>
        <w:pStyle w:val="Corpsdetexte"/>
      </w:pPr>
      <w:r>
        <w:t xml:space="preserve">Créé par IRON CROWN ENTERPRISES, Inc., P.O. Box 1605,</w:t>
      </w:r>
      <w:r>
        <w:t xml:space="preserve"> </w:t>
      </w:r>
      <w:r>
        <w:t xml:space="preserve">Charlottesville, VA 22902.</w:t>
      </w:r>
    </w:p>
    <w:p>
      <w:pPr>
        <w:pStyle w:val="Corpsdetexte"/>
      </w:pPr>
      <w:r>
        <w:t xml:space="preserve">Produit et distribué en français par HEXAGONAL, 8 Galerie Montmartre,</w:t>
      </w:r>
      <w:r>
        <w:t xml:space="preserve"> </w:t>
      </w:r>
      <w:r>
        <w:t xml:space="preserve">75002 PARIS, France.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31" name="Picture"/>
            <a:graphic>
              <a:graphicData uri="http://schemas.openxmlformats.org/drawingml/2006/picture">
                <pic:pic>
                  <pic:nvPicPr>
                    <pic:cNvPr descr="images/page-01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34" name="Picture"/>
            <a:graphic>
              <a:graphicData uri="http://schemas.openxmlformats.org/drawingml/2006/picture">
                <pic:pic>
                  <pic:nvPicPr>
                    <pic:cNvPr descr="images/page-34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6"/>
    <w:bookmarkEnd w:id="37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30" Target="media/rId30.png" /><Relationship Type="http://schemas.openxmlformats.org/officeDocument/2006/relationships/image" Id="rId25" Target="media/rId25.png" /><Relationship Type="http://schemas.openxmlformats.org/officeDocument/2006/relationships/image" Id="rId33" Target="media/rId3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Aux Portes du Mordor</dc:title>
  <dc:creator/>
  <dc:language/>
  <cp:keywords/>
  <dcterms:created xsi:type="dcterms:W3CDTF">2023-12-10T07:23:58Z</dcterms:created>
  <dcterms:modified xsi:type="dcterms:W3CDTF">2023-12-10T07:23:58Z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